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9183" w14:textId="54226D85" w:rsidR="00AC48F5" w:rsidRDefault="008244AF">
      <w:pPr>
        <w:pStyle w:val="BodyText"/>
        <w:spacing w:before="64"/>
        <w:ind w:left="1187" w:right="1128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92B4FF7" wp14:editId="7D643AE3">
                <wp:simplePos x="0" y="0"/>
                <wp:positionH relativeFrom="page">
                  <wp:posOffset>274320</wp:posOffset>
                </wp:positionH>
                <wp:positionV relativeFrom="page">
                  <wp:posOffset>5922010</wp:posOffset>
                </wp:positionV>
                <wp:extent cx="8890" cy="17526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75C8" id="Rectangle 5" o:spid="_x0000_s1026" style="position:absolute;margin-left:21.6pt;margin-top:466.3pt;width:.7pt;height:13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A787E1" wp14:editId="13D62627">
                <wp:simplePos x="0" y="0"/>
                <wp:positionH relativeFrom="page">
                  <wp:posOffset>274320</wp:posOffset>
                </wp:positionH>
                <wp:positionV relativeFrom="page">
                  <wp:posOffset>6623050</wp:posOffset>
                </wp:positionV>
                <wp:extent cx="8890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F6C74" id="Rectangle 4" o:spid="_x0000_s1026" style="position:absolute;margin-left:21.6pt;margin-top:521.5pt;width:.7pt;height:13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EC+gEAANg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B17E0C">
        <w:rPr>
          <w:color w:val="333333"/>
          <w:u w:val="none"/>
        </w:rPr>
        <w:t xml:space="preserve">Nashville State Community College </w:t>
      </w:r>
      <w:r w:rsidR="004F3458">
        <w:rPr>
          <w:color w:val="333333"/>
          <w:u w:val="none"/>
        </w:rPr>
        <w:t>(Institution</w:t>
      </w:r>
      <w:r w:rsidR="00B17E0C">
        <w:rPr>
          <w:color w:val="333333"/>
          <w:u w:val="none"/>
        </w:rPr>
        <w:t>)</w:t>
      </w:r>
    </w:p>
    <w:p w14:paraId="205C0F55" w14:textId="77777777" w:rsidR="00AC48F5" w:rsidRDefault="008244AF">
      <w:pPr>
        <w:pStyle w:val="BodyText"/>
        <w:spacing w:before="185"/>
        <w:ind w:left="1187" w:right="1141"/>
        <w:jc w:val="center"/>
        <w:rPr>
          <w:u w:val="none"/>
        </w:rPr>
      </w:pPr>
      <w:r>
        <w:rPr>
          <w:color w:val="333333"/>
          <w:u w:val="none"/>
        </w:rPr>
        <w:t>JUSTIFICATION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FOR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NON-COMPETITIVE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PURCHASES AND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CONTRACTS</w:t>
      </w:r>
    </w:p>
    <w:p w14:paraId="06C4E0F6" w14:textId="77777777" w:rsidR="00AC48F5" w:rsidRDefault="00AC48F5">
      <w:pPr>
        <w:pStyle w:val="BodyText"/>
        <w:rPr>
          <w:sz w:val="26"/>
          <w:u w:val="none"/>
        </w:rPr>
      </w:pPr>
    </w:p>
    <w:p w14:paraId="49F6EFDE" w14:textId="77777777" w:rsidR="00AC48F5" w:rsidRDefault="00AC48F5">
      <w:pPr>
        <w:pStyle w:val="BodyText"/>
        <w:rPr>
          <w:sz w:val="22"/>
          <w:u w:val="none"/>
        </w:rPr>
      </w:pPr>
    </w:p>
    <w:p w14:paraId="01B2FA80" w14:textId="02E3F88A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>
        <w:rPr>
          <w:b/>
          <w:color w:val="333333"/>
          <w:sz w:val="24"/>
          <w:u w:val="thick" w:color="003366"/>
        </w:rPr>
        <w:t>Description</w:t>
      </w:r>
      <w:r>
        <w:rPr>
          <w:b/>
          <w:color w:val="333333"/>
          <w:spacing w:val="-2"/>
          <w:sz w:val="24"/>
          <w:u w:val="thick" w:color="003366"/>
        </w:rPr>
        <w:t xml:space="preserve"> </w:t>
      </w:r>
      <w:r>
        <w:rPr>
          <w:b/>
          <w:color w:val="333333"/>
          <w:sz w:val="24"/>
          <w:u w:val="thick" w:color="003366"/>
        </w:rPr>
        <w:t>of</w:t>
      </w:r>
      <w:r>
        <w:rPr>
          <w:b/>
          <w:color w:val="333333"/>
          <w:spacing w:val="-2"/>
          <w:sz w:val="24"/>
          <w:u w:val="thick" w:color="003366"/>
        </w:rPr>
        <w:t xml:space="preserve"> </w:t>
      </w:r>
      <w:r>
        <w:rPr>
          <w:b/>
          <w:color w:val="333333"/>
          <w:sz w:val="24"/>
          <w:u w:val="thick" w:color="003366"/>
        </w:rPr>
        <w:t>service</w:t>
      </w:r>
      <w:r>
        <w:rPr>
          <w:b/>
          <w:color w:val="333333"/>
          <w:spacing w:val="-2"/>
          <w:sz w:val="24"/>
          <w:u w:val="thick" w:color="003366"/>
        </w:rPr>
        <w:t xml:space="preserve"> </w:t>
      </w:r>
      <w:r>
        <w:rPr>
          <w:b/>
          <w:color w:val="333333"/>
          <w:sz w:val="24"/>
          <w:u w:val="thick" w:color="003366"/>
        </w:rPr>
        <w:t>to</w:t>
      </w:r>
      <w:r>
        <w:rPr>
          <w:b/>
          <w:color w:val="333333"/>
          <w:spacing w:val="-2"/>
          <w:sz w:val="24"/>
          <w:u w:val="thick" w:color="003366"/>
        </w:rPr>
        <w:t xml:space="preserve"> </w:t>
      </w:r>
      <w:r>
        <w:rPr>
          <w:b/>
          <w:color w:val="333333"/>
          <w:sz w:val="24"/>
          <w:u w:val="thick" w:color="003366"/>
        </w:rPr>
        <w:t>be</w:t>
      </w:r>
      <w:r>
        <w:rPr>
          <w:b/>
          <w:color w:val="333333"/>
          <w:spacing w:val="-2"/>
          <w:sz w:val="24"/>
          <w:u w:val="thick" w:color="003366"/>
        </w:rPr>
        <w:t xml:space="preserve"> </w:t>
      </w:r>
      <w:r>
        <w:rPr>
          <w:b/>
          <w:color w:val="333333"/>
          <w:sz w:val="24"/>
          <w:u w:val="thick" w:color="003366"/>
        </w:rPr>
        <w:t>acquired:</w:t>
      </w:r>
    </w:p>
    <w:p w14:paraId="7EC2861E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20EA5679" w14:textId="77777777" w:rsidR="004F3458" w:rsidRPr="004F3458" w:rsidRDefault="004F3458" w:rsidP="004F345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513ADE09" w14:textId="07A031C1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Explanation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of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 need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for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or</w:t>
      </w:r>
      <w:r w:rsidRPr="004F3458">
        <w:rPr>
          <w:b/>
          <w:color w:val="333333"/>
          <w:spacing w:val="-4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requirement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placed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on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procuring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institution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to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acquire</w:t>
      </w:r>
      <w:r w:rsidRPr="004F3458">
        <w:rPr>
          <w:b/>
          <w:color w:val="333333"/>
          <w:spacing w:val="-63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service:</w:t>
      </w:r>
    </w:p>
    <w:p w14:paraId="27A15F1B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0C227E3C" w14:textId="77777777" w:rsidR="004F3458" w:rsidRPr="004F3458" w:rsidRDefault="004F3458" w:rsidP="004F3458">
      <w:pPr>
        <w:rPr>
          <w:b/>
          <w:sz w:val="24"/>
          <w:u w:color="000000"/>
        </w:rPr>
      </w:pPr>
    </w:p>
    <w:p w14:paraId="52FFB858" w14:textId="74CA45CE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Name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and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address</w:t>
      </w:r>
      <w:r w:rsidRPr="004F3458">
        <w:rPr>
          <w:b/>
          <w:color w:val="333333"/>
          <w:spacing w:val="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of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proposed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contractor’s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principal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owner(s):</w:t>
      </w:r>
    </w:p>
    <w:p w14:paraId="0EE4D61E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687069A9" w14:textId="77777777" w:rsidR="004F3458" w:rsidRPr="004F3458" w:rsidRDefault="004F3458" w:rsidP="004F3458">
      <w:pPr>
        <w:rPr>
          <w:b/>
          <w:sz w:val="24"/>
          <w:u w:color="000000"/>
        </w:rPr>
      </w:pPr>
    </w:p>
    <w:p w14:paraId="3468FB68" w14:textId="7BF6EE1F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Evidence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that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proposed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contractor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has experience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providing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same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or</w:t>
      </w:r>
      <w:r w:rsidRPr="004F3458">
        <w:rPr>
          <w:b/>
          <w:color w:val="333333"/>
          <w:spacing w:val="-6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similar</w:t>
      </w:r>
      <w:r w:rsidRPr="004F3458">
        <w:rPr>
          <w:b/>
          <w:color w:val="333333"/>
          <w:spacing w:val="-64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service and evidence of the length of time the contractor has provided the same or</w:t>
      </w:r>
      <w:r w:rsidRPr="004F3458">
        <w:rPr>
          <w:b/>
          <w:color w:val="333333"/>
          <w:spacing w:val="1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similar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service:</w:t>
      </w:r>
    </w:p>
    <w:p w14:paraId="4B1A286D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1D3F29F5" w14:textId="77777777" w:rsidR="004F3458" w:rsidRPr="004F3458" w:rsidRDefault="004F3458" w:rsidP="004F3458">
      <w:pPr>
        <w:rPr>
          <w:b/>
          <w:sz w:val="24"/>
          <w:u w:color="000000"/>
        </w:rPr>
      </w:pPr>
    </w:p>
    <w:p w14:paraId="1B7BB388" w14:textId="458DBF87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Explanation</w:t>
      </w:r>
      <w:r w:rsidRPr="004F3458">
        <w:rPr>
          <w:b/>
          <w:color w:val="333333"/>
          <w:spacing w:val="-4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of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whether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service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was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ever bought</w:t>
      </w:r>
      <w:r w:rsidRPr="004F3458">
        <w:rPr>
          <w:b/>
          <w:color w:val="333333"/>
          <w:spacing w:val="-4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by the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procuring</w:t>
      </w:r>
      <w:r w:rsidRPr="004F3458">
        <w:rPr>
          <w:b/>
          <w:color w:val="333333"/>
          <w:spacing w:val="-4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institution</w:t>
      </w:r>
      <w:r w:rsidRPr="004F3458">
        <w:rPr>
          <w:b/>
          <w:color w:val="333333"/>
          <w:spacing w:val="-7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 the</w:t>
      </w:r>
      <w:r w:rsidRPr="004F3458">
        <w:rPr>
          <w:b/>
          <w:color w:val="333333"/>
          <w:spacing w:val="-63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past,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and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if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so,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what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method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was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used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to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acquire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it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and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who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was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contractor</w:t>
      </w:r>
    </w:p>
    <w:p w14:paraId="69F98764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2CAC3DD9" w14:textId="77777777" w:rsidR="004F3458" w:rsidRPr="004F3458" w:rsidRDefault="004F3458" w:rsidP="004F3458">
      <w:pPr>
        <w:rPr>
          <w:b/>
          <w:sz w:val="24"/>
        </w:rPr>
      </w:pPr>
    </w:p>
    <w:p w14:paraId="73F84DF3" w14:textId="24CBF001" w:rsidR="004F3458" w:rsidRPr="00DE5E3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Description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of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procuring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institution’s</w:t>
      </w:r>
      <w:r w:rsidRPr="004F3458">
        <w:rPr>
          <w:b/>
          <w:color w:val="333333"/>
          <w:spacing w:val="-4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efforts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to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used existing</w:t>
      </w:r>
      <w:r w:rsidRPr="004F3458">
        <w:rPr>
          <w:b/>
          <w:color w:val="333333"/>
          <w:spacing w:val="-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institutional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employees</w:t>
      </w:r>
      <w:r w:rsidRPr="004F3458">
        <w:rPr>
          <w:b/>
          <w:color w:val="333333"/>
          <w:spacing w:val="-65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and resources or, in the alternative, to identify reasonable, competitive, procurement</w:t>
      </w:r>
      <w:r w:rsidRPr="004F3458">
        <w:rPr>
          <w:b/>
          <w:color w:val="333333"/>
          <w:spacing w:val="-64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alternatives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(rather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than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to</w:t>
      </w:r>
      <w:r w:rsidRPr="004F3458">
        <w:rPr>
          <w:b/>
          <w:color w:val="333333"/>
          <w:spacing w:val="-2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use</w:t>
      </w:r>
      <w:r w:rsidRPr="004F3458">
        <w:rPr>
          <w:b/>
          <w:color w:val="333333"/>
          <w:spacing w:val="-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non-competitive</w:t>
      </w:r>
      <w:r w:rsidRPr="004F3458">
        <w:rPr>
          <w:b/>
          <w:color w:val="333333"/>
          <w:spacing w:val="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negotiation):</w:t>
      </w:r>
    </w:p>
    <w:p w14:paraId="3EC326B0" w14:textId="77777777" w:rsidR="00DE5E38" w:rsidRPr="004F3458" w:rsidRDefault="00DE5E38" w:rsidP="00DE5E38">
      <w:pPr>
        <w:pStyle w:val="ListParagraph"/>
        <w:spacing w:before="0"/>
        <w:ind w:left="883" w:firstLine="0"/>
        <w:jc w:val="right"/>
        <w:rPr>
          <w:b/>
          <w:sz w:val="24"/>
          <w:u w:val="none"/>
        </w:rPr>
      </w:pPr>
    </w:p>
    <w:p w14:paraId="0C496F06" w14:textId="77777777" w:rsidR="004F3458" w:rsidRPr="004F3458" w:rsidRDefault="004F3458" w:rsidP="004F3458">
      <w:pPr>
        <w:rPr>
          <w:b/>
          <w:sz w:val="24"/>
          <w:u w:color="000000"/>
        </w:rPr>
      </w:pPr>
    </w:p>
    <w:p w14:paraId="6D739E82" w14:textId="048EE294" w:rsidR="00AC48F5" w:rsidRPr="004F3458" w:rsidRDefault="008244AF" w:rsidP="004F3458">
      <w:pPr>
        <w:pStyle w:val="ListParagraph"/>
        <w:numPr>
          <w:ilvl w:val="0"/>
          <w:numId w:val="1"/>
        </w:numPr>
        <w:spacing w:before="0"/>
        <w:ind w:hanging="361"/>
        <w:jc w:val="left"/>
        <w:rPr>
          <w:b/>
          <w:sz w:val="24"/>
          <w:u w:val="none"/>
        </w:rPr>
      </w:pPr>
      <w:r w:rsidRPr="004F3458">
        <w:rPr>
          <w:b/>
          <w:color w:val="333333"/>
          <w:sz w:val="24"/>
          <w:u w:val="thick" w:color="003366"/>
        </w:rPr>
        <w:t>Justification of why the institution should acquire the service through non-</w:t>
      </w:r>
      <w:r w:rsidRPr="004F3458">
        <w:rPr>
          <w:b/>
          <w:color w:val="333333"/>
          <w:spacing w:val="1"/>
          <w:sz w:val="24"/>
          <w:u w:val="none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competitive</w:t>
      </w:r>
      <w:r w:rsidRPr="004F3458">
        <w:rPr>
          <w:b/>
          <w:color w:val="333333"/>
          <w:spacing w:val="9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negotiation</w:t>
      </w:r>
      <w:r w:rsidRPr="004F3458">
        <w:rPr>
          <w:b/>
          <w:color w:val="333333"/>
          <w:spacing w:val="8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(list</w:t>
      </w:r>
      <w:r w:rsidRPr="004F3458">
        <w:rPr>
          <w:b/>
          <w:color w:val="333333"/>
          <w:spacing w:val="1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the</w:t>
      </w:r>
      <w:r w:rsidRPr="004F3458">
        <w:rPr>
          <w:b/>
          <w:color w:val="333333"/>
          <w:spacing w:val="8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applicable</w:t>
      </w:r>
      <w:r w:rsidRPr="004F3458">
        <w:rPr>
          <w:b/>
          <w:color w:val="333333"/>
          <w:spacing w:val="1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factor(s)</w:t>
      </w:r>
      <w:r w:rsidRPr="004F3458">
        <w:rPr>
          <w:b/>
          <w:color w:val="333333"/>
          <w:spacing w:val="1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from</w:t>
      </w:r>
      <w:r w:rsidRPr="004F3458">
        <w:rPr>
          <w:b/>
          <w:color w:val="333333"/>
          <w:spacing w:val="8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Section</w:t>
      </w:r>
      <w:r w:rsidRPr="004F3458">
        <w:rPr>
          <w:b/>
          <w:color w:val="333333"/>
          <w:spacing w:val="1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VI,</w:t>
      </w:r>
      <w:r w:rsidRPr="004F3458">
        <w:rPr>
          <w:b/>
          <w:color w:val="333333"/>
          <w:spacing w:val="11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11b,</w:t>
      </w:r>
      <w:r w:rsidRPr="004F3458">
        <w:rPr>
          <w:b/>
          <w:color w:val="333333"/>
          <w:spacing w:val="9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item</w:t>
      </w:r>
      <w:r w:rsidRPr="004F3458">
        <w:rPr>
          <w:b/>
          <w:color w:val="333333"/>
          <w:spacing w:val="8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4</w:t>
      </w:r>
      <w:r w:rsidRPr="004F3458">
        <w:rPr>
          <w:b/>
          <w:color w:val="333333"/>
          <w:spacing w:val="13"/>
          <w:sz w:val="24"/>
          <w:u w:val="thick" w:color="003366"/>
        </w:rPr>
        <w:t xml:space="preserve"> </w:t>
      </w:r>
      <w:r w:rsidRPr="004F3458">
        <w:rPr>
          <w:b/>
          <w:color w:val="333333"/>
          <w:sz w:val="24"/>
          <w:u w:val="thick" w:color="003366"/>
        </w:rPr>
        <w:t>of</w:t>
      </w:r>
      <w:r w:rsidRPr="004F3458">
        <w:rPr>
          <w:b/>
          <w:color w:val="333333"/>
          <w:spacing w:val="6"/>
          <w:sz w:val="24"/>
          <w:u w:val="thick" w:color="003366"/>
        </w:rPr>
        <w:t xml:space="preserve"> </w:t>
      </w:r>
      <w:r w:rsidR="00C16637" w:rsidRPr="004F3458">
        <w:rPr>
          <w:b/>
          <w:color w:val="333333"/>
          <w:sz w:val="24"/>
          <w:u w:val="thick" w:color="003366"/>
        </w:rPr>
        <w:t>NSC</w:t>
      </w:r>
      <w:r w:rsidR="001E1615">
        <w:rPr>
          <w:b/>
          <w:color w:val="333333"/>
          <w:sz w:val="24"/>
          <w:u w:val="thick" w:color="003366"/>
        </w:rPr>
        <w:t>C Purchasing Policy</w:t>
      </w:r>
      <w:r w:rsidRPr="004F3458">
        <w:rPr>
          <w:b/>
          <w:color w:val="333333"/>
          <w:sz w:val="24"/>
          <w:u w:val="thick" w:color="003366"/>
        </w:rPr>
        <w:t>:</w:t>
      </w:r>
    </w:p>
    <w:p w14:paraId="0794DBF6" w14:textId="77777777" w:rsidR="00AC48F5" w:rsidRDefault="00AC48F5">
      <w:pPr>
        <w:pStyle w:val="BodyText"/>
        <w:rPr>
          <w:sz w:val="16"/>
          <w:u w:val="none"/>
        </w:rPr>
      </w:pPr>
    </w:p>
    <w:p w14:paraId="4D63DDF6" w14:textId="6C80E043" w:rsidR="00461CE8" w:rsidRDefault="00461CE8">
      <w:pPr>
        <w:pStyle w:val="BodyText"/>
        <w:spacing w:before="92"/>
        <w:ind w:left="163"/>
        <w:rPr>
          <w:color w:val="D13438"/>
          <w:w w:val="99"/>
          <w:u w:val="none"/>
        </w:rPr>
      </w:pPr>
      <w:r>
        <w:rPr>
          <w:color w:val="D13438"/>
          <w:w w:val="99"/>
          <w:u w:val="none"/>
        </w:rPr>
        <w:br w:type="page"/>
      </w:r>
    </w:p>
    <w:p w14:paraId="272852B8" w14:textId="16C7FCDC" w:rsidR="000F370A" w:rsidRPr="00DE5E38" w:rsidRDefault="00DE5E38" w:rsidP="00DE5E38">
      <w:pPr>
        <w:pStyle w:val="BodyText"/>
        <w:spacing w:before="92"/>
        <w:ind w:left="540"/>
        <w:rPr>
          <w:b w:val="0"/>
          <w:bCs w:val="0"/>
          <w:w w:val="99"/>
          <w:u w:val="none"/>
        </w:rPr>
      </w:pPr>
      <w:r>
        <w:rPr>
          <w:b w:val="0"/>
          <w:bCs w:val="0"/>
          <w:w w:val="99"/>
          <w:u w:val="none"/>
        </w:rPr>
        <w:lastRenderedPageBreak/>
        <w:t xml:space="preserve">Select one or more of the options below to answer #7. </w:t>
      </w:r>
    </w:p>
    <w:p w14:paraId="62ED28EB" w14:textId="49A947AB" w:rsidR="00461CE8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bookmarkStart w:id="0" w:name="_Hlk142566754"/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461CE8">
        <w:rPr>
          <w:rFonts w:eastAsia="Times New Roman"/>
          <w:color w:val="000000" w:themeColor="text1"/>
          <w:sz w:val="24"/>
          <w:szCs w:val="24"/>
          <w:u w:val="none"/>
        </w:rPr>
        <w:t>he vendor possesses exclusive and/or predominant capabilities or the items contain a patented or copyrighted feature providing superior utility not obtainable from similar products;</w:t>
      </w:r>
    </w:p>
    <w:p w14:paraId="64C96D25" w14:textId="5BDA40EA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he product or service is unique and easily established as one of a kind;</w:t>
      </w:r>
    </w:p>
    <w:p w14:paraId="3D3AE3C9" w14:textId="76219E44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he program requirements can be modified so that competitive products or services may be used;</w:t>
      </w:r>
    </w:p>
    <w:p w14:paraId="389A20EB" w14:textId="4473E936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he product is available from only one source and not merchandised through wholesalers, jobbers, and retailers;</w:t>
      </w:r>
    </w:p>
    <w:p w14:paraId="1E7E2F5A" w14:textId="6F51A308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I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tems must be interchangeable or compatible with in-place items;</w:t>
      </w:r>
    </w:p>
    <w:p w14:paraId="58D31DDE" w14:textId="4309C1B0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he cost of conversion, including but not limited to disruption, retraining, and replacement precludes bidding competitively;</w:t>
      </w:r>
    </w:p>
    <w:p w14:paraId="6FD13C78" w14:textId="1A35619B" w:rsidR="00461CE8" w:rsidRPr="00C16637" w:rsidRDefault="00DE5E38" w:rsidP="00461CE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>
        <w:rPr>
          <w:rFonts w:eastAsia="Times New Roman"/>
          <w:color w:val="000000" w:themeColor="text1"/>
          <w:sz w:val="24"/>
          <w:szCs w:val="24"/>
          <w:u w:val="none"/>
        </w:rPr>
        <w:t>T</w:t>
      </w:r>
      <w:r w:rsidR="00461CE8" w:rsidRPr="00C16637">
        <w:rPr>
          <w:rFonts w:eastAsia="Times New Roman"/>
          <w:color w:val="000000" w:themeColor="text1"/>
          <w:sz w:val="24"/>
          <w:szCs w:val="24"/>
          <w:u w:val="none"/>
        </w:rPr>
        <w:t>he product is to be used in an instructional setting and the intent is to provide instruction on the specific product or diversity of products;</w:t>
      </w:r>
    </w:p>
    <w:p w14:paraId="381B2CF2" w14:textId="3E01BF34" w:rsidR="00461CE8" w:rsidRPr="00DE5E38" w:rsidRDefault="00461CE8" w:rsidP="00DE5E38">
      <w:pPr>
        <w:pStyle w:val="ListParagraph"/>
        <w:widowControl/>
        <w:numPr>
          <w:ilvl w:val="3"/>
          <w:numId w:val="3"/>
        </w:numPr>
        <w:shd w:val="clear" w:color="auto" w:fill="FFFFFF"/>
        <w:tabs>
          <w:tab w:val="clear" w:pos="2880"/>
        </w:tabs>
        <w:autoSpaceDE/>
        <w:autoSpaceDN/>
        <w:spacing w:line="450" w:lineRule="atLeast"/>
        <w:ind w:left="2160"/>
        <w:rPr>
          <w:rFonts w:eastAsia="Times New Roman"/>
          <w:color w:val="000000" w:themeColor="text1"/>
          <w:sz w:val="24"/>
          <w:szCs w:val="24"/>
          <w:u w:val="none"/>
        </w:rPr>
      </w:pPr>
      <w:r w:rsidRPr="00C16637">
        <w:rPr>
          <w:rFonts w:eastAsia="Times New Roman"/>
          <w:color w:val="000000" w:themeColor="text1"/>
          <w:sz w:val="24"/>
          <w:szCs w:val="24"/>
          <w:u w:val="none"/>
        </w:rPr>
        <w:t>For personal, professional and consultant services</w:t>
      </w:r>
      <w:r w:rsidR="00DE5E38">
        <w:rPr>
          <w:rFonts w:eastAsia="Times New Roman"/>
          <w:color w:val="000000" w:themeColor="text1"/>
          <w:sz w:val="24"/>
          <w:szCs w:val="24"/>
          <w:u w:val="none"/>
        </w:rPr>
        <w:t xml:space="preserve"> - T</w:t>
      </w:r>
      <w:r w:rsidRPr="00C16637">
        <w:rPr>
          <w:rFonts w:eastAsia="Times New Roman"/>
          <w:color w:val="000000" w:themeColor="text1"/>
          <w:sz w:val="24"/>
          <w:szCs w:val="24"/>
          <w:u w:val="none"/>
        </w:rPr>
        <w:t xml:space="preserve">he use of non-competitive negotiation is in the best interest of </w:t>
      </w:r>
      <w:r w:rsidR="00DE5E38">
        <w:rPr>
          <w:rFonts w:eastAsia="Times New Roman"/>
          <w:color w:val="000000" w:themeColor="text1"/>
          <w:sz w:val="24"/>
          <w:szCs w:val="24"/>
          <w:u w:val="none"/>
        </w:rPr>
        <w:t>NSCC.</w:t>
      </w:r>
    </w:p>
    <w:bookmarkEnd w:id="0"/>
    <w:p w14:paraId="74C73438" w14:textId="70AA3944" w:rsidR="00AC48F5" w:rsidRDefault="008244AF">
      <w:pPr>
        <w:pStyle w:val="BodyText"/>
        <w:spacing w:before="92"/>
        <w:ind w:left="16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1491B7" wp14:editId="49442928">
                <wp:simplePos x="0" y="0"/>
                <wp:positionH relativeFrom="page">
                  <wp:posOffset>548640</wp:posOffset>
                </wp:positionH>
                <wp:positionV relativeFrom="paragraph">
                  <wp:posOffset>218440</wp:posOffset>
                </wp:positionV>
                <wp:extent cx="50165" cy="152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524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8840" id="Rectangle 3" o:spid="_x0000_s1026" style="position:absolute;margin-left:43.2pt;margin-top:17.2pt;width:3.9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" fillcolor="#03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2326DE31" wp14:editId="1A469BD5">
                <wp:simplePos x="0" y="0"/>
                <wp:positionH relativeFrom="page">
                  <wp:posOffset>548640</wp:posOffset>
                </wp:positionH>
                <wp:positionV relativeFrom="paragraph">
                  <wp:posOffset>161925</wp:posOffset>
                </wp:positionV>
                <wp:extent cx="5016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D25D" id="Rectangle 2" o:spid="_x0000_s1026" style="position:absolute;margin-left:43.2pt;margin-top:12.75pt;width:3.95pt;height:.6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" fillcolor="#d13438" stroked="f">
                <w10:wrap anchorx="page"/>
              </v:rect>
            </w:pict>
          </mc:Fallback>
        </mc:AlternateContent>
      </w:r>
      <w:r>
        <w:rPr>
          <w:color w:val="D13438"/>
          <w:w w:val="99"/>
          <w:u w:val="none"/>
        </w:rPr>
        <w:t>:</w:t>
      </w:r>
    </w:p>
    <w:sectPr w:rsidR="00AC48F5">
      <w:type w:val="continuous"/>
      <w:pgSz w:w="12240" w:h="15840"/>
      <w:pgMar w:top="80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28CE"/>
    <w:multiLevelType w:val="multilevel"/>
    <w:tmpl w:val="07C095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450"/>
        </w:tabs>
        <w:ind w:left="45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7CF2C68"/>
    <w:multiLevelType w:val="multilevel"/>
    <w:tmpl w:val="902203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450"/>
        </w:tabs>
        <w:ind w:left="45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B16D3"/>
    <w:multiLevelType w:val="hybridMultilevel"/>
    <w:tmpl w:val="AF643CF0"/>
    <w:lvl w:ilvl="0" w:tplc="21669208">
      <w:start w:val="1"/>
      <w:numFmt w:val="decimal"/>
      <w:lvlText w:val="(%1)"/>
      <w:lvlJc w:val="left"/>
      <w:pPr>
        <w:ind w:left="883" w:hanging="360"/>
        <w:jc w:val="right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en-US" w:eastAsia="en-US" w:bidi="ar-SA"/>
      </w:rPr>
    </w:lvl>
    <w:lvl w:ilvl="1" w:tplc="C8387E9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02E8D0B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E6D2B7F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254642C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4C9C639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D49ABDC8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5596EF5A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EF226A36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5"/>
    <w:rsid w:val="000B7C7F"/>
    <w:rsid w:val="000F370A"/>
    <w:rsid w:val="001E1615"/>
    <w:rsid w:val="0032338B"/>
    <w:rsid w:val="00461CE8"/>
    <w:rsid w:val="004F3458"/>
    <w:rsid w:val="008244AF"/>
    <w:rsid w:val="00894DC1"/>
    <w:rsid w:val="00AC48F5"/>
    <w:rsid w:val="00B17E0C"/>
    <w:rsid w:val="00C16637"/>
    <w:rsid w:val="00D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7D17"/>
  <w15:docId w15:val="{44093313-6578-4B91-A51B-25114FA2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2"/>
      <w:ind w:left="523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non-competitive-justification-form-7 (18)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non-competitive-justification-form-7 (18)</dc:title>
  <dc:creator>Hodges_C</dc:creator>
  <cp:lastModifiedBy>Hodges, Mark</cp:lastModifiedBy>
  <cp:revision>2</cp:revision>
  <dcterms:created xsi:type="dcterms:W3CDTF">2024-07-18T18:21:00Z</dcterms:created>
  <dcterms:modified xsi:type="dcterms:W3CDTF">2024-07-18T18:21:00Z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2023-08-10T00:00:00Z</vt:filetime>
  </property>
</Properties>
</file>